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9AEE" w14:textId="7334053D" w:rsidR="00470B08" w:rsidRPr="00BA7699" w:rsidRDefault="00D23A07" w:rsidP="00BA7699">
      <w:pPr>
        <w:jc w:val="center"/>
        <w:rPr>
          <w:b/>
          <w:bCs/>
          <w:sz w:val="24"/>
          <w:szCs w:val="24"/>
        </w:rPr>
      </w:pPr>
      <w:r w:rsidRPr="00BA7699">
        <w:rPr>
          <w:rFonts w:hint="eastAsia"/>
          <w:b/>
          <w:bCs/>
          <w:sz w:val="24"/>
          <w:szCs w:val="24"/>
        </w:rPr>
        <w:t>事前課題No.3</w:t>
      </w:r>
    </w:p>
    <w:p w14:paraId="377C4C97" w14:textId="77777777" w:rsidR="00305CFA" w:rsidRDefault="00305CFA">
      <w:pPr>
        <w:rPr>
          <w:szCs w:val="21"/>
        </w:rPr>
      </w:pPr>
    </w:p>
    <w:p w14:paraId="40E95E38" w14:textId="07BF0364" w:rsidR="00305CFA" w:rsidRPr="00305CFA" w:rsidRDefault="00305CFA" w:rsidP="00305CFA">
      <w:pPr>
        <w:jc w:val="right"/>
        <w:rPr>
          <w:szCs w:val="21"/>
          <w:u w:val="single" w:color="000000" w:themeColor="text1"/>
        </w:rPr>
      </w:pPr>
      <w:r w:rsidRPr="00305CFA">
        <w:rPr>
          <w:rFonts w:hint="eastAsia"/>
          <w:szCs w:val="21"/>
          <w:u w:val="single" w:color="000000" w:themeColor="text1"/>
        </w:rPr>
        <w:t xml:space="preserve">氏名　　　　　　　　　　　　</w:t>
      </w:r>
      <w:r w:rsidRPr="00305CFA">
        <w:rPr>
          <w:rFonts w:hint="eastAsia"/>
          <w:color w:val="FFFFFF" w:themeColor="background1"/>
          <w:szCs w:val="21"/>
          <w:u w:val="single" w:color="000000" w:themeColor="text1"/>
        </w:rPr>
        <w:t>｡</w:t>
      </w:r>
    </w:p>
    <w:p w14:paraId="2DB9E3D5" w14:textId="36930310" w:rsidR="00D23A07" w:rsidRPr="00BA7699" w:rsidRDefault="00D23A07">
      <w:pPr>
        <w:rPr>
          <w:szCs w:val="21"/>
        </w:rPr>
      </w:pPr>
      <w:r w:rsidRPr="00BA7699">
        <w:rPr>
          <w:rFonts w:hint="eastAsia"/>
          <w:szCs w:val="21"/>
        </w:rPr>
        <w:t>・テキスト「第5　リハビリテーションの過程」を読み、リハ職が実施する評価及びアプローチについて指定のワークシートにまとめる。</w:t>
      </w:r>
    </w:p>
    <w:p w14:paraId="24FA25BB" w14:textId="274F8BB1" w:rsidR="00D17C24" w:rsidRPr="00305CFA" w:rsidRDefault="00D17C24" w:rsidP="00D23A07">
      <w:pPr>
        <w:ind w:leftChars="100" w:left="210"/>
        <w:rPr>
          <w:szCs w:val="21"/>
        </w:rPr>
      </w:pPr>
      <w:r w:rsidRPr="00305CFA">
        <w:rPr>
          <w:rFonts w:hint="eastAsia"/>
          <w:szCs w:val="21"/>
        </w:rPr>
        <w:t>教科書69ページ　１）障害別評価（69ページ）より「機能障害」「能力障害」「環境因子」に関する評価項目を抜き出して記載してください。</w:t>
      </w:r>
    </w:p>
    <w:p w14:paraId="0C570503" w14:textId="1DB91470" w:rsidR="00D23A07" w:rsidRPr="00D17C24" w:rsidRDefault="00D23A07" w:rsidP="00D23A07">
      <w:pPr>
        <w:ind w:leftChars="100" w:left="210"/>
        <w:rPr>
          <w:b/>
          <w:bCs/>
          <w:sz w:val="24"/>
          <w:szCs w:val="24"/>
        </w:rPr>
      </w:pPr>
      <w:r w:rsidRPr="00D17C24">
        <w:rPr>
          <w:rFonts w:hint="eastAsia"/>
          <w:b/>
          <w:bCs/>
          <w:sz w:val="24"/>
          <w:szCs w:val="24"/>
        </w:rPr>
        <w:t>機能障害に対する評価</w:t>
      </w:r>
      <w:r w:rsidR="00D17C24" w:rsidRPr="00D17C24">
        <w:rPr>
          <w:rFonts w:hint="eastAsia"/>
          <w:b/>
          <w:bCs/>
          <w:sz w:val="24"/>
          <w:szCs w:val="24"/>
        </w:rPr>
        <w:t>項目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E95DDA" w14:paraId="29238AEB" w14:textId="77777777" w:rsidTr="00E95DDA">
        <w:tc>
          <w:tcPr>
            <w:tcW w:w="4247" w:type="dxa"/>
          </w:tcPr>
          <w:p w14:paraId="031949D5" w14:textId="499775ED" w:rsidR="00E95DDA" w:rsidRPr="00772E27" w:rsidRDefault="00E95DDA" w:rsidP="00D23A07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筋力検査</w:t>
            </w:r>
          </w:p>
        </w:tc>
        <w:tc>
          <w:tcPr>
            <w:tcW w:w="4247" w:type="dxa"/>
          </w:tcPr>
          <w:p w14:paraId="7C321A30" w14:textId="3E525FCC" w:rsidR="00E95DDA" w:rsidRPr="00772E27" w:rsidRDefault="00E95DDA" w:rsidP="00D23A07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関節可動域検査</w:t>
            </w:r>
          </w:p>
        </w:tc>
      </w:tr>
      <w:tr w:rsidR="00E95DDA" w14:paraId="09F52754" w14:textId="77777777" w:rsidTr="00E95DDA">
        <w:tc>
          <w:tcPr>
            <w:tcW w:w="4247" w:type="dxa"/>
          </w:tcPr>
          <w:p w14:paraId="53951DEE" w14:textId="3BCED47B" w:rsidR="00E95DDA" w:rsidRPr="00772E27" w:rsidRDefault="00E95DDA" w:rsidP="00D23A07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知覚検査</w:t>
            </w:r>
          </w:p>
        </w:tc>
        <w:tc>
          <w:tcPr>
            <w:tcW w:w="4247" w:type="dxa"/>
          </w:tcPr>
          <w:p w14:paraId="1AAA1505" w14:textId="3DB0E1C5" w:rsidR="00E95DDA" w:rsidRPr="00772E27" w:rsidRDefault="00E95DDA" w:rsidP="00D23A07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協調性検査</w:t>
            </w:r>
          </w:p>
        </w:tc>
      </w:tr>
      <w:tr w:rsidR="00E95DDA" w14:paraId="0359CC92" w14:textId="77777777" w:rsidTr="00E95DDA">
        <w:tc>
          <w:tcPr>
            <w:tcW w:w="4247" w:type="dxa"/>
          </w:tcPr>
          <w:p w14:paraId="1CF27212" w14:textId="677D2544" w:rsidR="00E95DDA" w:rsidRPr="00772E27" w:rsidRDefault="00E95DDA" w:rsidP="00D23A07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運動発達検査</w:t>
            </w:r>
          </w:p>
        </w:tc>
        <w:tc>
          <w:tcPr>
            <w:tcW w:w="4247" w:type="dxa"/>
          </w:tcPr>
          <w:p w14:paraId="1C0EEAFE" w14:textId="39C4B035" w:rsidR="00E95DDA" w:rsidRPr="00772E27" w:rsidRDefault="00E95DDA" w:rsidP="00D23A07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言語機能検査</w:t>
            </w:r>
          </w:p>
        </w:tc>
      </w:tr>
      <w:tr w:rsidR="00E95DDA" w14:paraId="32CC9ACE" w14:textId="77777777" w:rsidTr="00E95DDA">
        <w:tc>
          <w:tcPr>
            <w:tcW w:w="4247" w:type="dxa"/>
          </w:tcPr>
          <w:p w14:paraId="2709BCA8" w14:textId="2AE713C2" w:rsidR="00E95DDA" w:rsidRPr="00772E27" w:rsidRDefault="00E95DDA" w:rsidP="00D23A07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高次脳機能検査</w:t>
            </w:r>
          </w:p>
        </w:tc>
        <w:tc>
          <w:tcPr>
            <w:tcW w:w="4247" w:type="dxa"/>
          </w:tcPr>
          <w:p w14:paraId="3B9734AD" w14:textId="3712A65D" w:rsidR="00E95DDA" w:rsidRPr="00772E27" w:rsidRDefault="00E95DDA" w:rsidP="00D23A07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排泄機能検査</w:t>
            </w:r>
          </w:p>
        </w:tc>
      </w:tr>
      <w:tr w:rsidR="00E95DDA" w14:paraId="6D63A620" w14:textId="77777777" w:rsidTr="00E95DDA">
        <w:tc>
          <w:tcPr>
            <w:tcW w:w="4247" w:type="dxa"/>
          </w:tcPr>
          <w:p w14:paraId="6E5B8F06" w14:textId="74F42C9A" w:rsidR="00E95DDA" w:rsidRPr="00772E27" w:rsidRDefault="00E95DDA" w:rsidP="00D23A07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摂食・嚥下機能検査</w:t>
            </w:r>
          </w:p>
        </w:tc>
        <w:tc>
          <w:tcPr>
            <w:tcW w:w="4247" w:type="dxa"/>
          </w:tcPr>
          <w:p w14:paraId="498AD03E" w14:textId="77777777" w:rsidR="00E95DDA" w:rsidRPr="00772E27" w:rsidRDefault="00E95DDA" w:rsidP="00D23A07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</w:tbl>
    <w:p w14:paraId="25B4083B" w14:textId="77777777" w:rsidR="00D23A07" w:rsidRPr="00E95DDA" w:rsidRDefault="00D23A07" w:rsidP="00E95DDA">
      <w:pPr>
        <w:rPr>
          <w:sz w:val="24"/>
          <w:szCs w:val="24"/>
        </w:rPr>
      </w:pPr>
    </w:p>
    <w:p w14:paraId="38954B1A" w14:textId="6C03984B" w:rsidR="00D23A07" w:rsidRPr="00D17C24" w:rsidRDefault="00D23A07" w:rsidP="00D23A07">
      <w:pPr>
        <w:ind w:leftChars="100" w:left="210"/>
        <w:rPr>
          <w:b/>
          <w:bCs/>
          <w:sz w:val="24"/>
          <w:szCs w:val="24"/>
        </w:rPr>
      </w:pPr>
      <w:r w:rsidRPr="00D17C24">
        <w:rPr>
          <w:rFonts w:hint="eastAsia"/>
          <w:b/>
          <w:bCs/>
          <w:sz w:val="24"/>
          <w:szCs w:val="24"/>
        </w:rPr>
        <w:t>能力障害に対する評価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4142"/>
        <w:gridCol w:w="4432"/>
      </w:tblGrid>
      <w:tr w:rsidR="00E95DDA" w14:paraId="3FE3D50A" w14:textId="77777777" w:rsidTr="00BA7699">
        <w:tc>
          <w:tcPr>
            <w:tcW w:w="8574" w:type="dxa"/>
            <w:gridSpan w:val="2"/>
          </w:tcPr>
          <w:p w14:paraId="755B0536" w14:textId="22370863" w:rsidR="00E95DDA" w:rsidRPr="00772E27" w:rsidRDefault="00E95DDA" w:rsidP="00D23A07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 xml:space="preserve">日常生活活動（ADL：Activities of </w:t>
            </w:r>
            <w:proofErr w:type="spellStart"/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Faily</w:t>
            </w:r>
            <w:proofErr w:type="spellEnd"/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 xml:space="preserve"> Living）</w:t>
            </w:r>
          </w:p>
        </w:tc>
      </w:tr>
      <w:tr w:rsidR="00E95DDA" w14:paraId="682E8C0F" w14:textId="77777777" w:rsidTr="00BA7699">
        <w:tc>
          <w:tcPr>
            <w:tcW w:w="8574" w:type="dxa"/>
            <w:gridSpan w:val="2"/>
          </w:tcPr>
          <w:p w14:paraId="58BD107E" w14:textId="3CB5A17E" w:rsidR="00E95DDA" w:rsidRPr="00772E27" w:rsidRDefault="00E95DDA" w:rsidP="00D23A07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家事や買い物などの手段的ADL（IADL：Instrumental ADL）</w:t>
            </w:r>
          </w:p>
        </w:tc>
      </w:tr>
      <w:tr w:rsidR="00E95DDA" w14:paraId="3E597EE2" w14:textId="77777777" w:rsidTr="00BA7699">
        <w:tc>
          <w:tcPr>
            <w:tcW w:w="4142" w:type="dxa"/>
          </w:tcPr>
          <w:p w14:paraId="5CC016EE" w14:textId="79BC923E" w:rsidR="00E95DDA" w:rsidRPr="00772E27" w:rsidRDefault="00BA7699" w:rsidP="00D23A07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歩行機能</w:t>
            </w:r>
          </w:p>
        </w:tc>
        <w:tc>
          <w:tcPr>
            <w:tcW w:w="4432" w:type="dxa"/>
          </w:tcPr>
          <w:p w14:paraId="503C8F7D" w14:textId="7E9ADA02" w:rsidR="00E95DDA" w:rsidRPr="00772E27" w:rsidRDefault="00BA7699" w:rsidP="00D23A07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コミュニケーション</w:t>
            </w:r>
          </w:p>
        </w:tc>
      </w:tr>
    </w:tbl>
    <w:p w14:paraId="5A8D4E7C" w14:textId="77777777" w:rsidR="00D23A07" w:rsidRPr="00BA7699" w:rsidRDefault="00D23A07" w:rsidP="00BA7699">
      <w:pPr>
        <w:rPr>
          <w:sz w:val="24"/>
          <w:szCs w:val="24"/>
        </w:rPr>
      </w:pPr>
    </w:p>
    <w:p w14:paraId="4DF8FF15" w14:textId="6D5A5EFA" w:rsidR="00D23A07" w:rsidRPr="00D17C24" w:rsidRDefault="00D23A07" w:rsidP="00D23A07">
      <w:pPr>
        <w:ind w:leftChars="100" w:left="210"/>
        <w:rPr>
          <w:b/>
          <w:bCs/>
          <w:sz w:val="24"/>
          <w:szCs w:val="24"/>
        </w:rPr>
      </w:pPr>
      <w:r w:rsidRPr="00D17C24">
        <w:rPr>
          <w:rFonts w:hint="eastAsia"/>
          <w:b/>
          <w:bCs/>
          <w:sz w:val="24"/>
          <w:szCs w:val="24"/>
        </w:rPr>
        <w:t>環境因子に対する評価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BA7699" w14:paraId="727B2D0F" w14:textId="77777777" w:rsidTr="00BA7699">
        <w:tc>
          <w:tcPr>
            <w:tcW w:w="4247" w:type="dxa"/>
          </w:tcPr>
          <w:p w14:paraId="0A86DBC4" w14:textId="6CE35836" w:rsidR="00BA7699" w:rsidRPr="00772E27" w:rsidRDefault="00BA7699" w:rsidP="00D23A07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家族構成</w:t>
            </w:r>
          </w:p>
        </w:tc>
        <w:tc>
          <w:tcPr>
            <w:tcW w:w="4247" w:type="dxa"/>
          </w:tcPr>
          <w:p w14:paraId="72A9ADBD" w14:textId="57EE53BB" w:rsidR="00BA7699" w:rsidRPr="00772E27" w:rsidRDefault="00BA7699" w:rsidP="00D23A07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経済面</w:t>
            </w:r>
          </w:p>
        </w:tc>
      </w:tr>
      <w:tr w:rsidR="00BA7699" w14:paraId="730F0BFF" w14:textId="77777777" w:rsidTr="00BA7699">
        <w:tc>
          <w:tcPr>
            <w:tcW w:w="4247" w:type="dxa"/>
          </w:tcPr>
          <w:p w14:paraId="7A7C8CF6" w14:textId="523F0B17" w:rsidR="00BA7699" w:rsidRPr="00772E27" w:rsidRDefault="00BA7699" w:rsidP="00D23A07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家屋環境</w:t>
            </w:r>
          </w:p>
        </w:tc>
        <w:tc>
          <w:tcPr>
            <w:tcW w:w="4247" w:type="dxa"/>
          </w:tcPr>
          <w:p w14:paraId="1738A498" w14:textId="0AD3758F" w:rsidR="00BA7699" w:rsidRPr="00772E27" w:rsidRDefault="00BA7699" w:rsidP="00D23A07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職場環境</w:t>
            </w:r>
          </w:p>
        </w:tc>
      </w:tr>
    </w:tbl>
    <w:p w14:paraId="50868048" w14:textId="702315EE" w:rsidR="00D23A07" w:rsidRDefault="00D17C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教科書（69ページから70ページ）</w:t>
      </w:r>
      <w:r w:rsidR="00D23A07" w:rsidRPr="00E95DDA">
        <w:rPr>
          <w:rFonts w:hint="eastAsia"/>
          <w:sz w:val="24"/>
          <w:szCs w:val="24"/>
        </w:rPr>
        <w:t>２）リハビリテーションの時期別評価</w:t>
      </w:r>
      <w:r>
        <w:rPr>
          <w:rFonts w:hint="eastAsia"/>
          <w:sz w:val="24"/>
          <w:szCs w:val="24"/>
        </w:rPr>
        <w:t xml:space="preserve">　より、</w:t>
      </w:r>
    </w:p>
    <w:p w14:paraId="67016DD9" w14:textId="03CECA2F" w:rsidR="00BA7699" w:rsidRDefault="00D17C24" w:rsidP="00D17C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「急性期」「回復期」「維持期（生活期）」</w:t>
      </w:r>
      <w:r w:rsidR="00BA7699">
        <w:rPr>
          <w:rFonts w:hint="eastAsia"/>
          <w:sz w:val="24"/>
          <w:szCs w:val="24"/>
        </w:rPr>
        <w:t>それぞれの時期における評価について</w:t>
      </w:r>
      <w:r>
        <w:rPr>
          <w:rFonts w:hint="eastAsia"/>
          <w:sz w:val="24"/>
          <w:szCs w:val="24"/>
        </w:rPr>
        <w:t>抜き出して記載してください</w:t>
      </w:r>
      <w:r w:rsidR="00BA7699">
        <w:rPr>
          <w:rFonts w:hint="eastAsia"/>
          <w:sz w:val="24"/>
          <w:szCs w:val="24"/>
        </w:rPr>
        <w:t>。</w:t>
      </w:r>
    </w:p>
    <w:p w14:paraId="66EAD59D" w14:textId="5E1FE2E4" w:rsidR="00BA7699" w:rsidRPr="00D17C24" w:rsidRDefault="00BA7699" w:rsidP="00BA7699">
      <w:pPr>
        <w:ind w:leftChars="100" w:left="210"/>
        <w:rPr>
          <w:b/>
          <w:bCs/>
          <w:sz w:val="24"/>
          <w:szCs w:val="24"/>
        </w:rPr>
      </w:pPr>
      <w:r w:rsidRPr="00D17C24">
        <w:rPr>
          <w:rFonts w:hint="eastAsia"/>
          <w:b/>
          <w:bCs/>
          <w:sz w:val="24"/>
          <w:szCs w:val="24"/>
        </w:rPr>
        <w:t>急性期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8494"/>
      </w:tblGrid>
      <w:tr w:rsidR="00BA7699" w14:paraId="798C9A9E" w14:textId="77777777" w:rsidTr="00BA7699">
        <w:tc>
          <w:tcPr>
            <w:tcW w:w="8494" w:type="dxa"/>
          </w:tcPr>
          <w:p w14:paraId="09F2DFA0" w14:textId="77777777" w:rsidR="00BA7699" w:rsidRPr="00772E27" w:rsidRDefault="00BA7699" w:rsidP="00BA7699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（急性期では）評価した内容が日々変化していくために、簡便で、またその変化の過程が分かりやすいことがポイントである。</w:t>
            </w:r>
          </w:p>
          <w:p w14:paraId="1C516496" w14:textId="6AF3117D" w:rsidR="00E13553" w:rsidRPr="00772E27" w:rsidRDefault="00E13553" w:rsidP="00BA7699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</w:tbl>
    <w:p w14:paraId="085034C6" w14:textId="77777777" w:rsidR="00BA7699" w:rsidRDefault="00BA7699" w:rsidP="00BA7699">
      <w:pPr>
        <w:ind w:leftChars="100" w:left="210"/>
        <w:rPr>
          <w:sz w:val="24"/>
          <w:szCs w:val="24"/>
        </w:rPr>
      </w:pPr>
    </w:p>
    <w:p w14:paraId="3A3704FB" w14:textId="34373F0B" w:rsidR="00BA7699" w:rsidRPr="00D17C24" w:rsidRDefault="00BA7699" w:rsidP="00BA7699">
      <w:pPr>
        <w:ind w:leftChars="100" w:left="210"/>
        <w:rPr>
          <w:b/>
          <w:bCs/>
          <w:sz w:val="24"/>
          <w:szCs w:val="24"/>
        </w:rPr>
      </w:pPr>
      <w:r w:rsidRPr="00D17C24">
        <w:rPr>
          <w:rFonts w:hint="eastAsia"/>
          <w:b/>
          <w:bCs/>
          <w:sz w:val="24"/>
          <w:szCs w:val="24"/>
        </w:rPr>
        <w:t>回復期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8432"/>
      </w:tblGrid>
      <w:tr w:rsidR="00BA7699" w14:paraId="30489F74" w14:textId="77777777" w:rsidTr="00BA7699">
        <w:tc>
          <w:tcPr>
            <w:tcW w:w="8432" w:type="dxa"/>
          </w:tcPr>
          <w:p w14:paraId="686D5622" w14:textId="77777777" w:rsidR="00BA7699" w:rsidRPr="00772E27" w:rsidRDefault="00BA7699" w:rsidP="00BA7699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（回復期における評価では、）身体的評価、精神的評価に加え、環境の評価が重要となってくる。回復期の評価会議での目標設定の変更などは、環境が原因のことが多い。</w:t>
            </w:r>
          </w:p>
          <w:p w14:paraId="7AD3F41B" w14:textId="4579B04D" w:rsidR="00E13553" w:rsidRPr="00772E27" w:rsidRDefault="00E13553" w:rsidP="00BA7699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</w:tbl>
    <w:p w14:paraId="467A496F" w14:textId="77777777" w:rsidR="00BA7699" w:rsidRDefault="00BA7699" w:rsidP="00BA7699">
      <w:pPr>
        <w:ind w:leftChars="100" w:left="210"/>
        <w:rPr>
          <w:sz w:val="24"/>
          <w:szCs w:val="24"/>
        </w:rPr>
      </w:pPr>
    </w:p>
    <w:p w14:paraId="3F23DAE1" w14:textId="627B5FD9" w:rsidR="00BA7699" w:rsidRPr="00D17C24" w:rsidRDefault="00BA7699" w:rsidP="00BA7699">
      <w:pPr>
        <w:ind w:leftChars="100" w:left="210"/>
        <w:rPr>
          <w:b/>
          <w:bCs/>
          <w:sz w:val="24"/>
          <w:szCs w:val="24"/>
        </w:rPr>
      </w:pPr>
      <w:r w:rsidRPr="00D17C24">
        <w:rPr>
          <w:rFonts w:hint="eastAsia"/>
          <w:b/>
          <w:bCs/>
          <w:sz w:val="24"/>
          <w:szCs w:val="24"/>
        </w:rPr>
        <w:t>維持期（生活期）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8494"/>
      </w:tblGrid>
      <w:tr w:rsidR="00BA7699" w14:paraId="063C3660" w14:textId="77777777" w:rsidTr="00BA7699">
        <w:tc>
          <w:tcPr>
            <w:tcW w:w="8494" w:type="dxa"/>
          </w:tcPr>
          <w:p w14:paraId="7D42BDCB" w14:textId="77777777" w:rsidR="00BA7699" w:rsidRPr="00772E27" w:rsidRDefault="00BA7699" w:rsidP="00BA7699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維持期（生活期）における評価では、身体的評価のウエイトは下がり、回復期以上に環境の評価が重要となり、目標も生活の質（QOL：</w:t>
            </w:r>
            <w:r w:rsidR="00BF311D" w:rsidRPr="00772E27">
              <w:rPr>
                <w:rFonts w:hint="eastAsia"/>
                <w:color w:val="FFFFFF" w:themeColor="background1"/>
                <w:sz w:val="24"/>
                <w:szCs w:val="24"/>
              </w:rPr>
              <w:t>Quality of Life）の向上となる。</w:t>
            </w:r>
          </w:p>
          <w:p w14:paraId="4D95C891" w14:textId="458E403A" w:rsidR="00E13553" w:rsidRPr="00772E27" w:rsidRDefault="00E13553" w:rsidP="00BA7699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</w:tbl>
    <w:p w14:paraId="3276DB42" w14:textId="75F5E9F2" w:rsidR="00305CFA" w:rsidRDefault="00D17C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教科書（7</w:t>
      </w:r>
      <w:r w:rsidR="00730997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ページ</w:t>
      </w:r>
      <w:r w:rsidR="0015364F">
        <w:rPr>
          <w:rFonts w:hint="eastAsia"/>
          <w:sz w:val="24"/>
          <w:szCs w:val="24"/>
        </w:rPr>
        <w:t>から74ページ</w:t>
      </w:r>
      <w:r>
        <w:rPr>
          <w:rFonts w:hint="eastAsia"/>
          <w:sz w:val="24"/>
          <w:szCs w:val="24"/>
        </w:rPr>
        <w:t>）</w:t>
      </w:r>
      <w:r w:rsidR="00730997">
        <w:rPr>
          <w:rFonts w:hint="eastAsia"/>
          <w:sz w:val="24"/>
          <w:szCs w:val="24"/>
        </w:rPr>
        <w:t>を参考に以下の内容を埋めなさい。</w:t>
      </w:r>
    </w:p>
    <w:p w14:paraId="4083D7B6" w14:textId="6EBA2FF9" w:rsidR="00BF311D" w:rsidRDefault="00BF3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４．評価の内容</w:t>
      </w:r>
    </w:p>
    <w:p w14:paraId="7A5F7D6C" w14:textId="0FB9013A" w:rsidR="00305CFA" w:rsidRDefault="00305C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リハビリテーションにおける</w:t>
      </w:r>
      <w:r w:rsidRPr="0015364F">
        <w:rPr>
          <w:rFonts w:hint="eastAsia"/>
          <w:sz w:val="24"/>
          <w:szCs w:val="24"/>
          <w:u w:val="single" w:color="000000" w:themeColor="text1"/>
        </w:rPr>
        <w:t>運動機能の三大評価</w:t>
      </w:r>
      <w:r>
        <w:rPr>
          <w:rFonts w:hint="eastAsia"/>
          <w:sz w:val="24"/>
          <w:szCs w:val="24"/>
        </w:rPr>
        <w:t>を抜き出してください。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05CFA" w14:paraId="41D747A3" w14:textId="77777777" w:rsidTr="00305CFA">
        <w:tc>
          <w:tcPr>
            <w:tcW w:w="3020" w:type="dxa"/>
          </w:tcPr>
          <w:p w14:paraId="3DEAB2A3" w14:textId="1B2E5F23" w:rsidR="00305CFA" w:rsidRPr="00772E27" w:rsidRDefault="00305CFA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関節可動域検査</w:t>
            </w:r>
          </w:p>
        </w:tc>
        <w:tc>
          <w:tcPr>
            <w:tcW w:w="3020" w:type="dxa"/>
          </w:tcPr>
          <w:p w14:paraId="6FD3E5AA" w14:textId="7580C096" w:rsidR="00305CFA" w:rsidRPr="00772E27" w:rsidRDefault="00305CFA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筋力検査</w:t>
            </w:r>
          </w:p>
        </w:tc>
        <w:tc>
          <w:tcPr>
            <w:tcW w:w="3020" w:type="dxa"/>
          </w:tcPr>
          <w:p w14:paraId="2F1E8B6B" w14:textId="2AE4F7A0" w:rsidR="00305CFA" w:rsidRPr="00772E27" w:rsidRDefault="00305CFA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ADL検査</w:t>
            </w:r>
          </w:p>
        </w:tc>
      </w:tr>
    </w:tbl>
    <w:p w14:paraId="24305EDA" w14:textId="296DD979" w:rsidR="00305CFA" w:rsidRDefault="001536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ADL（日常生活活動）検査の順序を抜きだしてください。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5364F" w14:paraId="4CD1D304" w14:textId="77777777" w:rsidTr="0015364F">
        <w:tc>
          <w:tcPr>
            <w:tcW w:w="3020" w:type="dxa"/>
          </w:tcPr>
          <w:p w14:paraId="1D984E1D" w14:textId="6853BBBE" w:rsidR="0015364F" w:rsidRDefault="001536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訓練室や病室での評価</w:t>
            </w:r>
          </w:p>
        </w:tc>
        <w:tc>
          <w:tcPr>
            <w:tcW w:w="3020" w:type="dxa"/>
          </w:tcPr>
          <w:p w14:paraId="76F971F8" w14:textId="7457A0A6" w:rsidR="0015364F" w:rsidRDefault="001536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実際に行っている評価</w:t>
            </w:r>
          </w:p>
        </w:tc>
        <w:tc>
          <w:tcPr>
            <w:tcW w:w="3020" w:type="dxa"/>
          </w:tcPr>
          <w:p w14:paraId="5A962337" w14:textId="7D068FB7" w:rsidR="0015364F" w:rsidRDefault="001536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ADLのゴール</w:t>
            </w:r>
          </w:p>
        </w:tc>
      </w:tr>
      <w:tr w:rsidR="0015364F" w14:paraId="2843C2CF" w14:textId="77777777" w:rsidTr="0015364F">
        <w:tc>
          <w:tcPr>
            <w:tcW w:w="3020" w:type="dxa"/>
          </w:tcPr>
          <w:p w14:paraId="289918B8" w14:textId="2692D1EC" w:rsidR="0015364F" w:rsidRPr="00772E27" w:rsidRDefault="0015364F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できるADL</w:t>
            </w:r>
          </w:p>
        </w:tc>
        <w:tc>
          <w:tcPr>
            <w:tcW w:w="3020" w:type="dxa"/>
          </w:tcPr>
          <w:p w14:paraId="145623A3" w14:textId="7F19C543" w:rsidR="0015364F" w:rsidRPr="00772E27" w:rsidRDefault="0015364F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しているADL</w:t>
            </w:r>
          </w:p>
        </w:tc>
        <w:tc>
          <w:tcPr>
            <w:tcW w:w="3020" w:type="dxa"/>
          </w:tcPr>
          <w:p w14:paraId="47A1E10E" w14:textId="718ECCDD" w:rsidR="0015364F" w:rsidRPr="00772E27" w:rsidRDefault="0015364F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するADL</w:t>
            </w:r>
          </w:p>
        </w:tc>
      </w:tr>
    </w:tbl>
    <w:p w14:paraId="763CC554" w14:textId="6BD176C1" w:rsidR="0015364F" w:rsidRDefault="001536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障害レベル別の精神的評価法について、74ページより抜きだしてください。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15364F" w14:paraId="36F1BBC2" w14:textId="77777777" w:rsidTr="0015364F">
        <w:tc>
          <w:tcPr>
            <w:tcW w:w="1555" w:type="dxa"/>
          </w:tcPr>
          <w:p w14:paraId="5E68EB2A" w14:textId="6BF9D8E0" w:rsidR="0015364F" w:rsidRDefault="001536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機能障害</w:t>
            </w:r>
          </w:p>
        </w:tc>
        <w:tc>
          <w:tcPr>
            <w:tcW w:w="7505" w:type="dxa"/>
          </w:tcPr>
          <w:p w14:paraId="7A129BD9" w14:textId="01DD4487" w:rsidR="0015364F" w:rsidRPr="00772E27" w:rsidRDefault="0015364F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知能検査、高次脳検査、</w:t>
            </w:r>
          </w:p>
        </w:tc>
      </w:tr>
      <w:tr w:rsidR="0015364F" w14:paraId="47A9501F" w14:textId="77777777" w:rsidTr="0015364F">
        <w:tc>
          <w:tcPr>
            <w:tcW w:w="1555" w:type="dxa"/>
          </w:tcPr>
          <w:p w14:paraId="72BCD8EA" w14:textId="5AC2A3DE" w:rsidR="0015364F" w:rsidRDefault="001536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能力障害</w:t>
            </w:r>
          </w:p>
        </w:tc>
        <w:tc>
          <w:tcPr>
            <w:tcW w:w="7505" w:type="dxa"/>
          </w:tcPr>
          <w:p w14:paraId="51DA883C" w14:textId="08DDB070" w:rsidR="004154FF" w:rsidRPr="00772E27" w:rsidRDefault="0015364F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うつ、不安、意欲低下</w:t>
            </w:r>
            <w:r w:rsidR="004154FF" w:rsidRPr="00772E27">
              <w:rPr>
                <w:rFonts w:hint="eastAsia"/>
                <w:color w:val="FFFFFF" w:themeColor="background1"/>
                <w:sz w:val="24"/>
                <w:szCs w:val="24"/>
              </w:rPr>
              <w:t>など</w:t>
            </w:r>
          </w:p>
        </w:tc>
      </w:tr>
      <w:tr w:rsidR="0015364F" w14:paraId="6320BE64" w14:textId="77777777" w:rsidTr="0015364F">
        <w:tc>
          <w:tcPr>
            <w:tcW w:w="1555" w:type="dxa"/>
          </w:tcPr>
          <w:p w14:paraId="599FFA4D" w14:textId="77777777" w:rsidR="0015364F" w:rsidRDefault="004154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環境面</w:t>
            </w:r>
          </w:p>
          <w:p w14:paraId="4573856F" w14:textId="79EECF9F" w:rsidR="004154FF" w:rsidRDefault="004154FF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7BD2DACC" w14:textId="1F0F09B6" w:rsidR="0015364F" w:rsidRPr="00772E27" w:rsidRDefault="004154FF">
            <w:pPr>
              <w:rPr>
                <w:color w:val="FFFFFF" w:themeColor="background1"/>
                <w:sz w:val="24"/>
                <w:szCs w:val="24"/>
              </w:rPr>
            </w:pPr>
            <w:r w:rsidRPr="00772E27">
              <w:rPr>
                <w:rFonts w:hint="eastAsia"/>
                <w:color w:val="FFFFFF" w:themeColor="background1"/>
                <w:sz w:val="24"/>
                <w:szCs w:val="24"/>
              </w:rPr>
              <w:t>家族の障害受容、社会的支援、経済面など</w:t>
            </w:r>
          </w:p>
        </w:tc>
      </w:tr>
    </w:tbl>
    <w:p w14:paraId="77CF4CBA" w14:textId="54385C07" w:rsidR="00BF311D" w:rsidRDefault="009155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教科書（75ページから76ページ）を参考に　</w:t>
      </w:r>
      <w:r w:rsidR="00BF311D">
        <w:rPr>
          <w:rFonts w:hint="eastAsia"/>
          <w:sz w:val="24"/>
          <w:szCs w:val="24"/>
        </w:rPr>
        <w:t>５．ゴール</w:t>
      </w:r>
      <w:r>
        <w:rPr>
          <w:rFonts w:hint="eastAsia"/>
          <w:sz w:val="24"/>
          <w:szCs w:val="24"/>
        </w:rPr>
        <w:t>（目標）</w:t>
      </w:r>
      <w:r w:rsidR="00BF311D">
        <w:rPr>
          <w:rFonts w:hint="eastAsia"/>
          <w:sz w:val="24"/>
          <w:szCs w:val="24"/>
        </w:rPr>
        <w:t>設定</w:t>
      </w:r>
      <w:r>
        <w:rPr>
          <w:rFonts w:hint="eastAsia"/>
          <w:sz w:val="24"/>
          <w:szCs w:val="24"/>
        </w:rPr>
        <w:t xml:space="preserve">　について</w:t>
      </w:r>
      <w:r w:rsidR="00B6605D">
        <w:rPr>
          <w:rFonts w:hint="eastAsia"/>
          <w:sz w:val="24"/>
          <w:szCs w:val="24"/>
        </w:rPr>
        <w:t>括弧を</w:t>
      </w:r>
      <w:r>
        <w:rPr>
          <w:rFonts w:hint="eastAsia"/>
          <w:sz w:val="24"/>
          <w:szCs w:val="24"/>
        </w:rPr>
        <w:t>埋めなさい。</w:t>
      </w:r>
    </w:p>
    <w:p w14:paraId="673DEA5B" w14:textId="03BACE2E" w:rsidR="00915563" w:rsidRDefault="00915563" w:rsidP="0091556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ゴール設定では患者・障害者の（</w:t>
      </w:r>
      <w:r w:rsidRPr="00915563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Pr="00772E27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 xml:space="preserve">身体的　</w:t>
      </w:r>
      <w:r w:rsidRPr="00915563">
        <w:rPr>
          <w:rFonts w:hint="eastAsia"/>
          <w:color w:val="000000" w:themeColor="text1"/>
          <w:sz w:val="24"/>
          <w:szCs w:val="24"/>
          <w:u w:val="single" w:color="000000" w:themeColor="text1"/>
        </w:rPr>
        <w:t>）</w:t>
      </w:r>
      <w:r>
        <w:rPr>
          <w:rFonts w:hint="eastAsia"/>
          <w:sz w:val="24"/>
          <w:szCs w:val="24"/>
        </w:rPr>
        <w:t>・（</w:t>
      </w:r>
      <w:r w:rsidRPr="00915563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Pr="00772E27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精神的</w:t>
      </w:r>
      <w:r w:rsidRPr="00915563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Pr="00915563">
        <w:rPr>
          <w:rFonts w:hint="eastAsia"/>
          <w:color w:val="000000" w:themeColor="text1"/>
          <w:sz w:val="24"/>
          <w:szCs w:val="24"/>
          <w:u w:val="single" w:color="000000" w:themeColor="text1"/>
        </w:rPr>
        <w:t>）</w:t>
      </w:r>
      <w:r>
        <w:rPr>
          <w:rFonts w:hint="eastAsia"/>
          <w:sz w:val="24"/>
          <w:szCs w:val="24"/>
        </w:rPr>
        <w:t>評価から問題点を抽出し、これに（</w:t>
      </w:r>
      <w:r w:rsidRPr="00915563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Pr="00772E27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環境</w:t>
      </w:r>
      <w:r w:rsidRPr="00915563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Pr="00915563">
        <w:rPr>
          <w:rFonts w:hint="eastAsia"/>
          <w:color w:val="000000" w:themeColor="text1"/>
          <w:sz w:val="24"/>
          <w:szCs w:val="24"/>
          <w:u w:val="single" w:color="000000" w:themeColor="text1"/>
        </w:rPr>
        <w:t>）</w:t>
      </w:r>
      <w:r>
        <w:rPr>
          <w:rFonts w:hint="eastAsia"/>
          <w:sz w:val="24"/>
          <w:szCs w:val="24"/>
        </w:rPr>
        <w:t>因子と（</w:t>
      </w:r>
      <w:r w:rsidRPr="00915563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Pr="00772E27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個人</w:t>
      </w:r>
      <w:r w:rsidRPr="00915563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Pr="00915563">
        <w:rPr>
          <w:rFonts w:hint="eastAsia"/>
          <w:color w:val="000000" w:themeColor="text1"/>
          <w:sz w:val="24"/>
          <w:szCs w:val="24"/>
          <w:u w:val="single" w:color="000000" w:themeColor="text1"/>
        </w:rPr>
        <w:t>）</w:t>
      </w:r>
      <w:r>
        <w:rPr>
          <w:rFonts w:hint="eastAsia"/>
          <w:sz w:val="24"/>
          <w:szCs w:val="24"/>
        </w:rPr>
        <w:t>因子の評価も含めて検討する。ゴールは、原疾患、障害の種類によって異なるが、年齢、生活歴、家族構成、経済面などの（</w:t>
      </w:r>
      <w:r w:rsidRPr="00915563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Pr="00772E27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環境</w:t>
      </w:r>
      <w:r w:rsidRPr="00915563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Pr="00915563">
        <w:rPr>
          <w:rFonts w:hint="eastAsia"/>
          <w:color w:val="000000" w:themeColor="text1"/>
          <w:sz w:val="24"/>
          <w:szCs w:val="24"/>
          <w:u w:val="single" w:color="000000" w:themeColor="text1"/>
        </w:rPr>
        <w:t>）</w:t>
      </w:r>
      <w:r>
        <w:rPr>
          <w:rFonts w:hint="eastAsia"/>
          <w:sz w:val="24"/>
          <w:szCs w:val="24"/>
        </w:rPr>
        <w:t>因子の占めるウエイトも大きい。</w:t>
      </w:r>
    </w:p>
    <w:p w14:paraId="37F6741D" w14:textId="04D15F12" w:rsidR="00347974" w:rsidRDefault="00347974">
      <w:pPr>
        <w:rPr>
          <w:sz w:val="24"/>
          <w:szCs w:val="24"/>
        </w:rPr>
      </w:pPr>
    </w:p>
    <w:p w14:paraId="5E35A3EE" w14:textId="33FB1029" w:rsidR="00915563" w:rsidRDefault="00915563" w:rsidP="009155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教科書（76ページ）</w:t>
      </w:r>
      <w:r w:rsidR="00B6605D">
        <w:rPr>
          <w:rFonts w:hint="eastAsia"/>
          <w:sz w:val="24"/>
          <w:szCs w:val="24"/>
        </w:rPr>
        <w:t xml:space="preserve">より　</w:t>
      </w:r>
      <w:r>
        <w:rPr>
          <w:rFonts w:hint="eastAsia"/>
          <w:sz w:val="24"/>
          <w:szCs w:val="24"/>
        </w:rPr>
        <w:t xml:space="preserve">６．プログラムの作成　</w:t>
      </w:r>
      <w:r w:rsidR="00B6605D">
        <w:rPr>
          <w:rFonts w:hint="eastAsia"/>
          <w:sz w:val="24"/>
          <w:szCs w:val="24"/>
        </w:rPr>
        <w:t>の原則をカギ括弧</w:t>
      </w:r>
      <w:r w:rsidR="00D50041">
        <w:rPr>
          <w:rFonts w:hint="eastAsia"/>
          <w:sz w:val="24"/>
          <w:szCs w:val="24"/>
        </w:rPr>
        <w:t>に</w:t>
      </w:r>
      <w:r w:rsidR="00B6605D">
        <w:rPr>
          <w:rFonts w:hint="eastAsia"/>
          <w:sz w:val="24"/>
          <w:szCs w:val="24"/>
        </w:rPr>
        <w:t>埋めなさい。</w:t>
      </w:r>
    </w:p>
    <w:p w14:paraId="36623927" w14:textId="3E8AB15A" w:rsidR="00347974" w:rsidRPr="00915563" w:rsidRDefault="00B660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プログラム作成は「</w:t>
      </w:r>
      <w:r w:rsidRPr="00B6605D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Pr="00772E27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協働を原則としての役割分担</w:t>
      </w:r>
      <w:r w:rsidRPr="00B6605D">
        <w:rPr>
          <w:rFonts w:hint="eastAsia"/>
          <w:color w:val="FF0000"/>
          <w:sz w:val="24"/>
          <w:szCs w:val="24"/>
          <w:u w:val="single" w:color="000000" w:themeColor="text1"/>
        </w:rPr>
        <w:t xml:space="preserve">　　</w:t>
      </w:r>
      <w:r>
        <w:rPr>
          <w:rFonts w:hint="eastAsia"/>
          <w:sz w:val="24"/>
          <w:szCs w:val="24"/>
        </w:rPr>
        <w:t>」が原則である。</w:t>
      </w:r>
    </w:p>
    <w:p w14:paraId="2E437230" w14:textId="56EC3CCE" w:rsidR="00915563" w:rsidRDefault="00915563">
      <w:pPr>
        <w:rPr>
          <w:sz w:val="24"/>
          <w:szCs w:val="24"/>
        </w:rPr>
      </w:pPr>
    </w:p>
    <w:p w14:paraId="6302F3D0" w14:textId="6FBB1957" w:rsidR="00D50041" w:rsidRDefault="00D50041" w:rsidP="00D500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教科書（76ページから78ページ）を読んで　７．リハビリテーション過程とクリニカルパス　</w:t>
      </w:r>
      <w:r w:rsidR="00076CAB">
        <w:rPr>
          <w:rFonts w:hint="eastAsia"/>
          <w:sz w:val="24"/>
          <w:szCs w:val="24"/>
        </w:rPr>
        <w:t>について、括弧を埋めてください。</w:t>
      </w:r>
    </w:p>
    <w:p w14:paraId="77C7FF43" w14:textId="1A57548D" w:rsidR="00076CAB" w:rsidRDefault="00076CAB" w:rsidP="00D500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医療の（</w:t>
      </w:r>
      <w:r w:rsidRPr="00076CAB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Pr="00772E27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標準化</w:t>
      </w:r>
      <w:r w:rsidRPr="00076CAB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>
        <w:rPr>
          <w:rFonts w:hint="eastAsia"/>
          <w:sz w:val="24"/>
          <w:szCs w:val="24"/>
        </w:rPr>
        <w:t>）・（</w:t>
      </w:r>
      <w:r w:rsidRPr="00076CAB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Pr="00772E27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効率化</w:t>
      </w:r>
      <w:r w:rsidRPr="00076CAB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>
        <w:rPr>
          <w:rFonts w:hint="eastAsia"/>
          <w:sz w:val="24"/>
          <w:szCs w:val="24"/>
        </w:rPr>
        <w:t>）が目的であるクリニカルパスは、日本では病院の（</w:t>
      </w:r>
      <w:r w:rsidRPr="00076CAB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Pr="00772E27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機能分化</w:t>
      </w:r>
      <w:r w:rsidRPr="00076CAB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>
        <w:rPr>
          <w:rFonts w:hint="eastAsia"/>
          <w:sz w:val="24"/>
          <w:szCs w:val="24"/>
        </w:rPr>
        <w:t>）や入院期間の</w:t>
      </w:r>
      <w:r w:rsidR="00A65C7A">
        <w:rPr>
          <w:rFonts w:hint="eastAsia"/>
          <w:sz w:val="24"/>
          <w:szCs w:val="24"/>
        </w:rPr>
        <w:t>（</w:t>
      </w:r>
      <w:r w:rsidR="00A65C7A" w:rsidRPr="00A65C7A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Pr="00772E27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短縮化</w:t>
      </w:r>
      <w:r w:rsidR="00A65C7A" w:rsidRPr="00A65C7A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="00A65C7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を背景に急速に広まっている。</w:t>
      </w:r>
    </w:p>
    <w:p w14:paraId="23536656" w14:textId="2133BDF7" w:rsidR="00A65C7A" w:rsidRDefault="00A65C7A" w:rsidP="00D500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Pr="00A65C7A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Pr="00772E27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共通の目標</w:t>
      </w:r>
      <w:r w:rsidRPr="00A65C7A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>
        <w:rPr>
          <w:rFonts w:hint="eastAsia"/>
          <w:sz w:val="24"/>
          <w:szCs w:val="24"/>
        </w:rPr>
        <w:t>）ゴールを設定し、それを短期間に（</w:t>
      </w:r>
      <w:r w:rsidRPr="00A65C7A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 w:rsidRPr="00772E27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達成</w:t>
      </w:r>
      <w:r w:rsidRPr="00A65C7A">
        <w:rPr>
          <w:rFonts w:hint="eastAsia"/>
          <w:color w:val="FF0000"/>
          <w:sz w:val="24"/>
          <w:szCs w:val="24"/>
          <w:u w:val="single" w:color="000000" w:themeColor="text1"/>
        </w:rPr>
        <w:t xml:space="preserve">　</w:t>
      </w:r>
      <w:r>
        <w:rPr>
          <w:rFonts w:hint="eastAsia"/>
          <w:sz w:val="24"/>
          <w:szCs w:val="24"/>
        </w:rPr>
        <w:t>）するというクリニカルパスの目的は、リハビリテーション過程そのものといっても過言ではない。</w:t>
      </w:r>
    </w:p>
    <w:p w14:paraId="3FE583ED" w14:textId="22BD2E0E" w:rsidR="00D50041" w:rsidRPr="00D50041" w:rsidRDefault="00A65C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A5F126D" w14:textId="77777777" w:rsidR="00D50041" w:rsidRPr="00E95DDA" w:rsidRDefault="00D50041">
      <w:pPr>
        <w:rPr>
          <w:sz w:val="24"/>
          <w:szCs w:val="24"/>
        </w:rPr>
      </w:pPr>
    </w:p>
    <w:sectPr w:rsidR="00D50041" w:rsidRPr="00E95DDA" w:rsidSect="00BA769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1087"/>
    <w:multiLevelType w:val="hybridMultilevel"/>
    <w:tmpl w:val="5DEC8E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920A77"/>
    <w:multiLevelType w:val="hybridMultilevel"/>
    <w:tmpl w:val="31DAE9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BEB2E93"/>
    <w:multiLevelType w:val="hybridMultilevel"/>
    <w:tmpl w:val="EC52B8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07"/>
    <w:rsid w:val="00076CAB"/>
    <w:rsid w:val="0015364F"/>
    <w:rsid w:val="001A1ADB"/>
    <w:rsid w:val="00290D3E"/>
    <w:rsid w:val="00305CFA"/>
    <w:rsid w:val="00347974"/>
    <w:rsid w:val="004154FF"/>
    <w:rsid w:val="00470B08"/>
    <w:rsid w:val="004A3A8F"/>
    <w:rsid w:val="006A39BC"/>
    <w:rsid w:val="00730997"/>
    <w:rsid w:val="00772E27"/>
    <w:rsid w:val="00915563"/>
    <w:rsid w:val="00A65C7A"/>
    <w:rsid w:val="00B6605D"/>
    <w:rsid w:val="00BA7699"/>
    <w:rsid w:val="00BF311D"/>
    <w:rsid w:val="00D17C24"/>
    <w:rsid w:val="00D23A07"/>
    <w:rsid w:val="00D50041"/>
    <w:rsid w:val="00DD18CE"/>
    <w:rsid w:val="00E13553"/>
    <w:rsid w:val="00E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7874C"/>
  <w15:chartTrackingRefBased/>
  <w15:docId w15:val="{45ECAD21-B7EB-44C7-B85F-A93B7250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A07"/>
    <w:pPr>
      <w:ind w:leftChars="400" w:left="840"/>
    </w:pPr>
  </w:style>
  <w:style w:type="table" w:styleId="a4">
    <w:name w:val="Table Grid"/>
    <w:basedOn w:val="a1"/>
    <w:uiPriority w:val="39"/>
    <w:rsid w:val="00E9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久高 将臣</dc:creator>
  <cp:keywords/>
  <dc:description/>
  <cp:lastModifiedBy>福井 彰雄</cp:lastModifiedBy>
  <cp:revision>2</cp:revision>
  <dcterms:created xsi:type="dcterms:W3CDTF">2021-05-30T01:31:00Z</dcterms:created>
  <dcterms:modified xsi:type="dcterms:W3CDTF">2021-05-30T01:31:00Z</dcterms:modified>
</cp:coreProperties>
</file>